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C908894"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483B60">
        <w:rPr>
          <w:rFonts w:ascii="Arial" w:hAnsi="Arial" w:cs="Arial"/>
          <w:b/>
          <w:bCs/>
          <w:caps/>
          <w:color w:val="214F87"/>
          <w:sz w:val="44"/>
          <w:szCs w:val="44"/>
        </w:rPr>
        <w:t>D</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EB4B7A9" w14:textId="77777777" w:rsidR="00F25C3F" w:rsidRPr="00FA29D0" w:rsidRDefault="00F25C3F" w:rsidP="00F25C3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5F6ACF4" w14:textId="36D427FB" w:rsidR="00F25C3F" w:rsidRDefault="00F25C3F" w:rsidP="00F25C3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355EF52" w14:textId="040E985C" w:rsidR="00F25C3F" w:rsidRDefault="00F25C3F" w:rsidP="00F25C3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45276F7C"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91D30">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07789AE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12500D">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54AFB9F5" w14:textId="3C0B54BE" w:rsidR="00483B60" w:rsidRPr="00483B60" w:rsidRDefault="00483B60" w:rsidP="00451F57">
      <w:pPr>
        <w:pStyle w:val="Zkladntext"/>
        <w:numPr>
          <w:ilvl w:val="0"/>
          <w:numId w:val="31"/>
        </w:numPr>
        <w:spacing w:before="120" w:after="120" w:line="271" w:lineRule="auto"/>
        <w:jc w:val="both"/>
        <w:rPr>
          <w:rFonts w:ascii="Arial" w:hAnsi="Arial" w:cs="Arial"/>
          <w:b w:val="0"/>
          <w:i w:val="0"/>
          <w:sz w:val="22"/>
          <w:szCs w:val="22"/>
        </w:rPr>
      </w:pPr>
      <w:r w:rsidRPr="00483B60">
        <w:rPr>
          <w:rFonts w:ascii="Arial" w:hAnsi="Arial" w:cs="Arial"/>
          <w:b w:val="0"/>
          <w:i w:val="0"/>
          <w:sz w:val="22"/>
          <w:szCs w:val="22"/>
        </w:rPr>
        <w:lastRenderedPageBreak/>
        <w:t>Příjemce dotace převede výhodu z poskytnuté dotace svěřením majetku do užívání poskytovateli SOHZ a bude povinen zajistit splnění podmínek podpory 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 (Rozhodnutí Komise 2012/21/EU).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73"/>
        <w:gridCol w:w="1564"/>
        <w:gridCol w:w="2972"/>
      </w:tblGrid>
      <w:tr w:rsidR="00804B4B" w:rsidRPr="00804B4B" w14:paraId="191C4894" w14:textId="77777777" w:rsidTr="00FA4300">
        <w:trPr>
          <w:trHeight w:val="283"/>
        </w:trPr>
        <w:tc>
          <w:tcPr>
            <w:tcW w:w="1418"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373"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A4300">
        <w:trPr>
          <w:trHeight w:val="283"/>
        </w:trPr>
        <w:tc>
          <w:tcPr>
            <w:tcW w:w="1418"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373" w:type="dxa"/>
            <w:tcBorders>
              <w:top w:val="single" w:sz="4" w:space="0" w:color="auto"/>
              <w:left w:val="single" w:sz="4" w:space="0" w:color="auto"/>
              <w:bottom w:val="single" w:sz="4" w:space="0" w:color="auto"/>
              <w:right w:val="single" w:sz="4" w:space="0" w:color="auto"/>
            </w:tcBorders>
            <w:vAlign w:val="center"/>
          </w:tcPr>
          <w:p w14:paraId="7730826A" w14:textId="4F7F1ACE"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A430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A4300">
        <w:trPr>
          <w:trHeight w:val="111"/>
        </w:trPr>
        <w:tc>
          <w:tcPr>
            <w:tcW w:w="1418"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A4300">
        <w:trPr>
          <w:trHeight w:val="171"/>
        </w:trPr>
        <w:tc>
          <w:tcPr>
            <w:tcW w:w="1418"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373"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A4300">
        <w:trPr>
          <w:trHeight w:val="445"/>
        </w:trPr>
        <w:tc>
          <w:tcPr>
            <w:tcW w:w="1418"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373"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A4300">
        <w:tc>
          <w:tcPr>
            <w:tcW w:w="1418"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EndPr/>
    <w:sdtContent>
      <w:sdt>
        <w:sdtPr>
          <w:id w:val="678540483"/>
          <w:docPartObj>
            <w:docPartGallery w:val="Page Numbers (Top of Page)"/>
            <w:docPartUnique/>
          </w:docPartObj>
        </w:sdtPr>
        <w:sdtEnd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EndPr/>
    <w:sdtContent>
      <w:sdt>
        <w:sdtPr>
          <w:id w:val="1728636285"/>
          <w:docPartObj>
            <w:docPartGallery w:val="Page Numbers (Top of Page)"/>
            <w:docPartUnique/>
          </w:docPartObj>
        </w:sdtPr>
        <w:sdtEnd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6"/>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BAB"/>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1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1D30"/>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00D"/>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69F2"/>
    <w:rsid w:val="00477071"/>
    <w:rsid w:val="00477DB4"/>
    <w:rsid w:val="00477F0B"/>
    <w:rsid w:val="00480031"/>
    <w:rsid w:val="00480BED"/>
    <w:rsid w:val="004816D3"/>
    <w:rsid w:val="00482C55"/>
    <w:rsid w:val="004836CC"/>
    <w:rsid w:val="00483B60"/>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2E"/>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CD8"/>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B53"/>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2FD2"/>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EC5"/>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5C3F"/>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1DC9"/>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300"/>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4129</Words>
  <Characters>23850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36</cp:revision>
  <cp:lastPrinted>2022-07-27T10:25:00Z</cp:lastPrinted>
  <dcterms:created xsi:type="dcterms:W3CDTF">2022-08-23T11:25:00Z</dcterms:created>
  <dcterms:modified xsi:type="dcterms:W3CDTF">2025-01-17T08:22:00Z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